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D4" w:rsidRPr="00744C1F" w:rsidRDefault="001C28D4" w:rsidP="001C28D4">
      <w:pPr>
        <w:rPr>
          <w:rFonts w:ascii="Arial" w:hAnsi="Arial" w:cs="Arial"/>
          <w:b/>
          <w:color w:val="333333"/>
        </w:rPr>
      </w:pPr>
      <w:bookmarkStart w:id="0" w:name="_GoBack"/>
      <w:bookmarkEnd w:id="0"/>
      <w:r w:rsidRPr="00744C1F">
        <w:rPr>
          <w:rFonts w:ascii="Arial" w:hAnsi="Arial" w:cs="Arial"/>
          <w:b/>
          <w:color w:val="333333"/>
        </w:rPr>
        <w:t>Historical Interpreter Positions for</w:t>
      </w:r>
    </w:p>
    <w:p w:rsidR="001C28D4" w:rsidRPr="00744C1F" w:rsidRDefault="001C28D4" w:rsidP="001C28D4">
      <w:pPr>
        <w:rPr>
          <w:rFonts w:ascii="Arial" w:hAnsi="Arial" w:cs="Arial"/>
          <w:b/>
          <w:color w:val="333333"/>
        </w:rPr>
      </w:pPr>
      <w:r w:rsidRPr="00744C1F">
        <w:rPr>
          <w:rFonts w:ascii="Arial" w:hAnsi="Arial" w:cs="Arial"/>
          <w:b/>
          <w:color w:val="333333"/>
        </w:rPr>
        <w:t>City of Toronto Museums and Heritage Services</w:t>
      </w:r>
    </w:p>
    <w:p w:rsidR="001C28D4" w:rsidRPr="00744C1F" w:rsidRDefault="001C28D4" w:rsidP="001C28D4">
      <w:pPr>
        <w:rPr>
          <w:rFonts w:ascii="Arial" w:hAnsi="Arial" w:cs="Arial"/>
        </w:rPr>
      </w:pPr>
    </w:p>
    <w:p w:rsidR="001C28D4" w:rsidRPr="00744C1F" w:rsidRDefault="001C28D4" w:rsidP="001C28D4">
      <w:pPr>
        <w:rPr>
          <w:rFonts w:ascii="Arial" w:hAnsi="Arial" w:cs="Arial"/>
        </w:rPr>
      </w:pPr>
      <w:r w:rsidRPr="00744C1F">
        <w:rPr>
          <w:rFonts w:ascii="Arial" w:hAnsi="Arial" w:cs="Arial"/>
        </w:rPr>
        <w:t>Do you enjoy sharing stories and interacting with diverse groups of people of all ages? Are you committed to creating inclusive museums for all and committed to telling the full story of Toronto's past, present and future?   Do you love community engagement, performing or working with your hands?   You could be a Historical Interpreter at Toronto History Museums!</w:t>
      </w:r>
    </w:p>
    <w:p w:rsidR="001C28D4" w:rsidRPr="00744C1F" w:rsidRDefault="001C28D4" w:rsidP="001C28D4">
      <w:pPr>
        <w:rPr>
          <w:rFonts w:ascii="Arial" w:hAnsi="Arial" w:cs="Arial"/>
        </w:rPr>
      </w:pPr>
    </w:p>
    <w:p w:rsidR="001C28D4" w:rsidRPr="00744C1F" w:rsidRDefault="001C28D4" w:rsidP="001C28D4">
      <w:pPr>
        <w:rPr>
          <w:rFonts w:ascii="Arial" w:hAnsi="Arial" w:cs="Arial"/>
        </w:rPr>
      </w:pPr>
      <w:r w:rsidRPr="00744C1F">
        <w:rPr>
          <w:rFonts w:ascii="Arial" w:hAnsi="Arial" w:cs="Arial"/>
        </w:rPr>
        <w:t>Historical Interpreters create inclusive and welcoming experiences at the Toronto History Museums. They design and deliver unique, interactive and creative programming that tells the many and diverse stories of Toronto's past present and future.</w:t>
      </w:r>
    </w:p>
    <w:p w:rsidR="001C28D4" w:rsidRPr="00744C1F" w:rsidRDefault="001C28D4" w:rsidP="001C28D4">
      <w:pPr>
        <w:rPr>
          <w:rFonts w:ascii="Arial" w:hAnsi="Arial" w:cs="Arial"/>
        </w:rPr>
      </w:pPr>
    </w:p>
    <w:p w:rsidR="001C28D4" w:rsidRPr="00744C1F" w:rsidRDefault="001C28D4" w:rsidP="001C28D4">
      <w:pPr>
        <w:rPr>
          <w:rFonts w:ascii="Arial" w:hAnsi="Arial" w:cs="Arial"/>
        </w:rPr>
      </w:pPr>
      <w:r w:rsidRPr="00744C1F">
        <w:rPr>
          <w:rFonts w:ascii="Arial" w:hAnsi="Arial" w:cs="Arial"/>
        </w:rPr>
        <w:t>Historic Interpreters bring rich and diverse knowledge and experiences to Toronto History Museums.  They use performance, education, artistic, artisan and community engagement skills to create the best possible experiences for the public.  Their energy and enthusiasm are the public face of Toronto’s museums.</w:t>
      </w:r>
    </w:p>
    <w:p w:rsidR="001C28D4" w:rsidRPr="00744C1F" w:rsidRDefault="001C28D4" w:rsidP="001C28D4">
      <w:pPr>
        <w:rPr>
          <w:rStyle w:val="normaltextrun"/>
          <w:rFonts w:ascii="Arial" w:hAnsi="Arial" w:cs="Arial"/>
          <w:iCs/>
        </w:rPr>
      </w:pPr>
    </w:p>
    <w:p w:rsidR="001C28D4" w:rsidRPr="00744C1F" w:rsidRDefault="001C28D4" w:rsidP="001C28D4">
      <w:pPr>
        <w:rPr>
          <w:rFonts w:ascii="Arial" w:hAnsi="Arial" w:cs="Arial"/>
          <w:shd w:val="clear" w:color="auto" w:fill="FFFFFF"/>
        </w:rPr>
      </w:pPr>
      <w:r w:rsidRPr="00744C1F">
        <w:rPr>
          <w:rFonts w:ascii="Arial" w:hAnsi="Arial" w:cs="Arial"/>
          <w:shd w:val="clear" w:color="auto" w:fill="FFFFFF"/>
        </w:rPr>
        <w:t xml:space="preserve">If you are committed to anti-oppressive and inclusive practices, this will be an exciting opportunity for you to join the Toronto History Museums’ team as we embark on an ambitious and intentional change journey to decolonize the City’s museums and create community spaces that are inclusive to all. Take a look at our most recent program, Awakenings, which uses storytelling to connect people through art, creativity, culture and innovation: </w:t>
      </w:r>
      <w:hyperlink r:id="rId5" w:history="1">
        <w:r w:rsidRPr="00744C1F">
          <w:rPr>
            <w:rStyle w:val="Hyperlink"/>
            <w:rFonts w:ascii="Arial" w:hAnsi="Arial" w:cs="Arial"/>
            <w:shd w:val="clear" w:color="auto" w:fill="FFFFFF"/>
          </w:rPr>
          <w:t>https://www.toronto.ca/explore-enjoy/history-art-culture/museums/</w:t>
        </w:r>
      </w:hyperlink>
    </w:p>
    <w:p w:rsidR="001C28D4" w:rsidRPr="00744C1F" w:rsidRDefault="001C28D4" w:rsidP="001C28D4">
      <w:pPr>
        <w:rPr>
          <w:rFonts w:ascii="Arial" w:hAnsi="Arial" w:cs="Arial"/>
          <w:b/>
          <w:color w:val="333333"/>
        </w:rPr>
      </w:pPr>
    </w:p>
    <w:p w:rsidR="001C28D4" w:rsidRPr="00744C1F" w:rsidRDefault="001C28D4" w:rsidP="001C28D4">
      <w:pPr>
        <w:rPr>
          <w:rFonts w:ascii="Arial" w:hAnsi="Arial" w:cs="Arial"/>
          <w:b/>
          <w:color w:val="333333"/>
        </w:rPr>
      </w:pPr>
      <w:r w:rsidRPr="00744C1F">
        <w:rPr>
          <w:rFonts w:ascii="Arial" w:hAnsi="Arial" w:cs="Arial"/>
          <w:b/>
          <w:color w:val="333333"/>
        </w:rPr>
        <w:t>Posting</w:t>
      </w:r>
    </w:p>
    <w:tbl>
      <w:tblPr>
        <w:tblpPr w:leftFromText="45" w:rightFromText="45" w:vertAnchor="text"/>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2"/>
        <w:gridCol w:w="7508"/>
      </w:tblGrid>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lang w:val="en-CA"/>
              </w:rPr>
            </w:pPr>
            <w:proofErr w:type="spellStart"/>
            <w:r w:rsidRPr="00744C1F">
              <w:rPr>
                <w:rFonts w:ascii="Arial" w:hAnsi="Arial" w:cs="Arial"/>
                <w:b/>
                <w:bCs/>
                <w:color w:val="000000"/>
              </w:rPr>
              <w:t>Req</w:t>
            </w:r>
            <w:proofErr w:type="spellEnd"/>
            <w:r w:rsidRPr="00744C1F">
              <w:rPr>
                <w:rFonts w:ascii="Arial" w:hAnsi="Arial" w:cs="Arial"/>
                <w:b/>
                <w:bCs/>
                <w:color w:val="000000"/>
              </w:rPr>
              <w:t xml:space="preserve"> ID</w:t>
            </w:r>
            <w:r w:rsidRPr="00744C1F">
              <w:rPr>
                <w:rFonts w:ascii="Arial" w:hAnsi="Arial" w:cs="Arial"/>
                <w:color w:val="000000"/>
              </w:rPr>
              <w:t>:</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20820</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Job Category</w:t>
            </w:r>
            <w:r w:rsidRPr="00744C1F">
              <w:rPr>
                <w:rFonts w:ascii="Arial" w:hAnsi="Arial" w:cs="Arial"/>
                <w:color w:val="000000"/>
              </w:rPr>
              <w:t>:</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Museums</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Job Type:</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Temporary, Part-time</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Hourly Rate:</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$23.00 </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Number of Positions:</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22</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Start Date:</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TBD  </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Work Location:</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Various</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District:</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Various</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Season:</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Fall; Spring; Summer; Winter  </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Duration:</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rPr>
            </w:pPr>
            <w:r w:rsidRPr="00744C1F">
              <w:rPr>
                <w:rFonts w:ascii="Arial" w:hAnsi="Arial" w:cs="Arial"/>
              </w:rPr>
              <w:t>Part time hours as scheduled.  Includes weekends, evenings and holidays.</w:t>
            </w:r>
          </w:p>
          <w:p w:rsidR="001C28D4" w:rsidRPr="00744C1F" w:rsidRDefault="001C28D4" w:rsidP="00E02ADC">
            <w:pPr>
              <w:rPr>
                <w:rFonts w:ascii="Arial" w:hAnsi="Arial" w:cs="Arial"/>
                <w:bCs/>
              </w:rPr>
            </w:pPr>
            <w:r w:rsidRPr="00744C1F">
              <w:rPr>
                <w:rFonts w:ascii="Arial" w:hAnsi="Arial" w:cs="Arial"/>
                <w:bCs/>
              </w:rPr>
              <w:t>Museum staff schedules vary throughout the year based on our programming – the high season for museum programming is May to December.</w:t>
            </w:r>
          </w:p>
          <w:p w:rsidR="001C28D4" w:rsidRPr="00744C1F" w:rsidRDefault="001C28D4" w:rsidP="00E02ADC">
            <w:pPr>
              <w:rPr>
                <w:rFonts w:ascii="Arial" w:hAnsi="Arial" w:cs="Arial"/>
                <w:color w:val="000000"/>
              </w:rPr>
            </w:pP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Shift Information:</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TBD</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Division:</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Economic Development &amp; Culture</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Section:</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EDC Museum &amp; Heritage Services</w:t>
            </w:r>
          </w:p>
        </w:tc>
      </w:tr>
      <w:tr w:rsidR="001C28D4" w:rsidRPr="00744C1F" w:rsidTr="00E02AD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b/>
                <w:bCs/>
                <w:color w:val="000000"/>
              </w:rPr>
              <w:t>Posting End Date:</w:t>
            </w:r>
          </w:p>
        </w:tc>
        <w:tc>
          <w:tcPr>
            <w:tcW w:w="0" w:type="auto"/>
            <w:shd w:val="clear" w:color="auto" w:fill="FFFFFF"/>
            <w:tcMar>
              <w:top w:w="0" w:type="dxa"/>
              <w:left w:w="0" w:type="dxa"/>
              <w:bottom w:w="0" w:type="dxa"/>
              <w:right w:w="0" w:type="dxa"/>
            </w:tcMar>
            <w:vAlign w:val="center"/>
            <w:hideMark/>
          </w:tcPr>
          <w:p w:rsidR="001C28D4" w:rsidRPr="00744C1F" w:rsidRDefault="001C28D4" w:rsidP="00E02ADC">
            <w:pPr>
              <w:rPr>
                <w:rFonts w:ascii="Arial" w:hAnsi="Arial" w:cs="Arial"/>
                <w:color w:val="000000"/>
              </w:rPr>
            </w:pPr>
            <w:r w:rsidRPr="00744C1F">
              <w:rPr>
                <w:rFonts w:ascii="Arial" w:hAnsi="Arial" w:cs="Arial"/>
                <w:color w:val="000000"/>
              </w:rPr>
              <w:t> 08/12/2021 </w:t>
            </w:r>
          </w:p>
        </w:tc>
      </w:tr>
    </w:tbl>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lastRenderedPageBreak/>
        <w:t>    </w:t>
      </w:r>
    </w:p>
    <w:p w:rsidR="001C28D4" w:rsidRPr="00744C1F" w:rsidRDefault="001C28D4" w:rsidP="001C28D4">
      <w:pPr>
        <w:pStyle w:val="NormalWeb"/>
        <w:shd w:val="clear" w:color="auto" w:fill="FFFFFF"/>
        <w:spacing w:before="2" w:after="2"/>
        <w:rPr>
          <w:rFonts w:ascii="Arial" w:hAnsi="Arial" w:cs="Arial"/>
          <w:color w:val="1F497D"/>
          <w:sz w:val="24"/>
          <w:szCs w:val="24"/>
        </w:rPr>
      </w:pPr>
      <w:r w:rsidRPr="00744C1F">
        <w:rPr>
          <w:rFonts w:ascii="Arial" w:hAnsi="Arial" w:cs="Arial"/>
          <w:color w:val="000000"/>
          <w:sz w:val="24"/>
          <w:szCs w:val="24"/>
        </w:rPr>
        <w:t xml:space="preserve">All applications must be made online by following this link </w:t>
      </w:r>
      <w:hyperlink r:id="rId6" w:history="1">
        <w:r w:rsidRPr="00744C1F">
          <w:rPr>
            <w:rStyle w:val="Hyperlink"/>
            <w:rFonts w:ascii="Arial" w:hAnsi="Arial" w:cs="Arial"/>
            <w:sz w:val="24"/>
            <w:szCs w:val="24"/>
          </w:rPr>
          <w:t>https://jobs.toronto.ca/recreation/go/Museum-Jobs/2578517/</w:t>
        </w:r>
      </w:hyperlink>
    </w:p>
    <w:p w:rsidR="001C28D4" w:rsidRPr="00744C1F" w:rsidRDefault="001C28D4" w:rsidP="001C28D4">
      <w:pPr>
        <w:rPr>
          <w:rFonts w:ascii="Arial" w:hAnsi="Arial" w:cs="Arial"/>
          <w:color w:val="333333"/>
        </w:rPr>
      </w:pPr>
      <w:r w:rsidRPr="00744C1F">
        <w:rPr>
          <w:rFonts w:ascii="Arial" w:hAnsi="Arial" w:cs="Arial"/>
          <w:b/>
          <w:bCs/>
          <w:color w:val="333333"/>
        </w:rPr>
        <w:t>Important:  In order to be considered, you must specify your preferred location.</w:t>
      </w:r>
    </w:p>
    <w:p w:rsidR="001C28D4" w:rsidRPr="00744C1F" w:rsidRDefault="001C28D4" w:rsidP="001C28D4">
      <w:pPr>
        <w:pStyle w:val="NormalWeb"/>
        <w:shd w:val="clear" w:color="auto" w:fill="FFFFFF"/>
        <w:spacing w:before="2" w:after="2"/>
        <w:rPr>
          <w:rFonts w:ascii="Arial" w:hAnsi="Arial" w:cs="Arial"/>
          <w:color w:val="1F497D"/>
          <w:sz w:val="24"/>
          <w:szCs w:val="24"/>
        </w:rPr>
      </w:pP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                 </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b/>
          <w:bCs/>
          <w:color w:val="000000"/>
          <w:sz w:val="24"/>
          <w:szCs w:val="24"/>
        </w:rPr>
        <w:t>Responsibilities:</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Delivers museum programs and services and assists in the research, development and implementation of museum programs.</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Assists in development and implementation elements of historical and educational interpretive programs for school groups, community groups, and the general public, both on-site and in the community.</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Contributes to the development of special events, exhibits, research projects and community initiatives.</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Assists in the marketing of the site and its programs.</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Leads hands-on programs for a range of audiences including school groups, adults and children.</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Provides interpretation of a variety of historical activities to client groups and the general public.</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Conducts group and individual interpretive tours.</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Performs administrative tasks to support the program.</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Supports museum programs (i.e. opening, closing, set-up, clean-up, reception, retail and general customer service).</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Participates in volunteer training and supervision.</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Assists with the security, maintenance and preservation of the site and collection.</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Promotes site programs at community events.</w:t>
      </w:r>
    </w:p>
    <w:p w:rsidR="001C28D4" w:rsidRPr="00744C1F" w:rsidRDefault="001C28D4" w:rsidP="001C28D4">
      <w:pPr>
        <w:numPr>
          <w:ilvl w:val="0"/>
          <w:numId w:val="1"/>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Provides site security related to program needs.</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 </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b/>
          <w:bCs/>
          <w:color w:val="000000"/>
          <w:sz w:val="24"/>
          <w:szCs w:val="24"/>
        </w:rPr>
        <w:t>Qualifications:</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University degree in History, Education, Theatre, Arts, Museum Studies, Indigenous Studies, Environmental Studies, Gender Studies, Social/Political Science or approved equivalent.</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Demonstrated communication and public relations skills.</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Sound knowledge of discipline of Canadian history appropriate to site interpretation.</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Knowledgeable about education theory and its application.</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333333"/>
        </w:rPr>
        <w:t>Knowledge and experience related to program delivery such as: anti-oppressive and inclusive practices, theatre, environmental studies, food, living history, artisan skills, music, arts programming, camp, and community engagement.</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Experience in related disciplines such as theatre, arts programming, community engagement, education, children’s and youth environments.</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Good interpersonal skills with the ability to communicate effectively, both orally and in writing at all organizational levels with the general public.</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Standard First Aid/CPR Certification required.</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t>A Police Reference Check will be required as a condition of employment for this position.</w:t>
      </w:r>
    </w:p>
    <w:p w:rsidR="001C28D4" w:rsidRPr="00744C1F" w:rsidRDefault="001C28D4" w:rsidP="001C28D4">
      <w:pPr>
        <w:numPr>
          <w:ilvl w:val="0"/>
          <w:numId w:val="2"/>
        </w:numPr>
        <w:shd w:val="clear" w:color="auto" w:fill="FFFFFF"/>
        <w:spacing w:before="100" w:beforeAutospacing="1" w:after="100" w:afterAutospacing="1"/>
        <w:rPr>
          <w:rFonts w:ascii="Arial" w:hAnsi="Arial" w:cs="Arial"/>
          <w:color w:val="000000"/>
        </w:rPr>
      </w:pPr>
      <w:r w:rsidRPr="00744C1F">
        <w:rPr>
          <w:rFonts w:ascii="Arial" w:hAnsi="Arial" w:cs="Arial"/>
          <w:color w:val="000000"/>
        </w:rPr>
        <w:lastRenderedPageBreak/>
        <w:t>You possess certification in Parks and Recreation Ontario's Principles of Healthy Child Development (PHCD).  Applicants who meet all other qualifications can view the City of Toronto's Leadership Guide to find and register for PHCD course, in order to meet this qualification.  </w:t>
      </w:r>
      <w:r w:rsidRPr="00744C1F">
        <w:rPr>
          <w:rFonts w:ascii="Arial" w:hAnsi="Arial" w:cs="Arial"/>
          <w:color w:val="FF0000"/>
        </w:rPr>
        <w:t>Please note, during Covid-19, applicants will be provided with access to an Online PHCD workshop upon being successful in the job competition.</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 </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b/>
          <w:bCs/>
          <w:color w:val="000000"/>
          <w:sz w:val="24"/>
          <w:szCs w:val="24"/>
        </w:rPr>
        <w:t>Note:</w:t>
      </w:r>
      <w:r w:rsidRPr="00744C1F">
        <w:rPr>
          <w:rFonts w:ascii="Arial" w:hAnsi="Arial" w:cs="Arial"/>
          <w:color w:val="000000"/>
          <w:sz w:val="24"/>
          <w:szCs w:val="24"/>
        </w:rPr>
        <w:t>  Must attend and successfully complete related mandatory and in-service training sessions.</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 </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b/>
          <w:bCs/>
          <w:color w:val="000000"/>
          <w:sz w:val="24"/>
          <w:szCs w:val="24"/>
        </w:rPr>
        <w:t>Contacts for additional information:</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Scarborough Museums, contact Elaine Kemp at 416-397-7632 or </w:t>
      </w:r>
      <w:hyperlink r:id="rId7" w:history="1">
        <w:r w:rsidRPr="00744C1F">
          <w:rPr>
            <w:rStyle w:val="Hyperlink"/>
            <w:rFonts w:ascii="Arial" w:hAnsi="Arial" w:cs="Arial"/>
            <w:sz w:val="24"/>
            <w:szCs w:val="24"/>
          </w:rPr>
          <w:t>Elaine.Kemp@toronto.ca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Colborne Lodge, contact Lauren McCallum at 647-850-7493 or </w:t>
      </w:r>
      <w:hyperlink r:id="rId8" w:history="1">
        <w:r w:rsidRPr="00744C1F">
          <w:rPr>
            <w:rStyle w:val="Hyperlink"/>
            <w:rFonts w:ascii="Arial" w:hAnsi="Arial" w:cs="Arial"/>
            <w:sz w:val="24"/>
            <w:szCs w:val="24"/>
          </w:rPr>
          <w:t>Lauren.McCallum@toronto.ca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Gibson House, contact Elizabeth Nelson-Raffaele at 416 395-6890 or </w:t>
      </w:r>
      <w:hyperlink r:id="rId9" w:history="1">
        <w:r w:rsidRPr="00744C1F">
          <w:rPr>
            <w:rStyle w:val="Hyperlink"/>
            <w:rFonts w:ascii="Arial" w:hAnsi="Arial" w:cs="Arial"/>
            <w:sz w:val="24"/>
            <w:szCs w:val="24"/>
          </w:rPr>
          <w:t>Elizabeth.Nelson-Raffaele@toronto.ca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proofErr w:type="spellStart"/>
      <w:r w:rsidRPr="00744C1F">
        <w:rPr>
          <w:rFonts w:ascii="Arial" w:hAnsi="Arial" w:cs="Arial"/>
          <w:color w:val="000000"/>
          <w:sz w:val="24"/>
          <w:szCs w:val="24"/>
        </w:rPr>
        <w:t>Todmorden</w:t>
      </w:r>
      <w:proofErr w:type="spellEnd"/>
      <w:r w:rsidRPr="00744C1F">
        <w:rPr>
          <w:rFonts w:ascii="Arial" w:hAnsi="Arial" w:cs="Arial"/>
          <w:color w:val="000000"/>
          <w:sz w:val="24"/>
          <w:szCs w:val="24"/>
        </w:rPr>
        <w:t xml:space="preserve"> Mills, contact Philip Cheong at 416-396-3315 or </w:t>
      </w:r>
      <w:hyperlink r:id="rId10" w:history="1">
        <w:r w:rsidRPr="00744C1F">
          <w:rPr>
            <w:rStyle w:val="Hyperlink"/>
            <w:rFonts w:ascii="Arial" w:hAnsi="Arial" w:cs="Arial"/>
            <w:sz w:val="24"/>
            <w:szCs w:val="24"/>
          </w:rPr>
          <w:t>Philip.Cheong@toronto.ca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Mackenzie House, contact Pailagi Pandya at 437 217-6736 or </w:t>
      </w:r>
      <w:hyperlink r:id="rId11" w:history="1">
        <w:r w:rsidRPr="00744C1F">
          <w:rPr>
            <w:rStyle w:val="Hyperlink"/>
            <w:rFonts w:ascii="Arial" w:hAnsi="Arial" w:cs="Arial"/>
            <w:sz w:val="24"/>
            <w:szCs w:val="24"/>
          </w:rPr>
          <w:t>Pailagi.Pandya@toronto.ca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Montgomery's Inn, contact Lauren McCallum at 647-850-7493 or </w:t>
      </w:r>
      <w:hyperlink r:id="rId12" w:history="1">
        <w:r w:rsidRPr="00744C1F">
          <w:rPr>
            <w:rStyle w:val="Hyperlink"/>
            <w:rFonts w:ascii="Arial" w:hAnsi="Arial" w:cs="Arial"/>
            <w:sz w:val="24"/>
            <w:szCs w:val="24"/>
          </w:rPr>
          <w:t>Lauren.McCallum@toronto.ca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Spadina Museum, contact Alexandra Kim at 416-338-3054 or </w:t>
      </w:r>
      <w:hyperlink r:id="rId13" w:history="1">
        <w:r w:rsidRPr="00744C1F">
          <w:rPr>
            <w:rStyle w:val="Hyperlink"/>
            <w:rFonts w:ascii="Arial" w:hAnsi="Arial" w:cs="Arial"/>
            <w:sz w:val="24"/>
            <w:szCs w:val="24"/>
          </w:rPr>
          <w:t>Alexandra.Kim@toronto.ca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Fort York National Historic Site, contact Tamara Williams at 416 392-7755 or </w:t>
      </w:r>
      <w:hyperlink r:id="rId14" w:history="1">
        <w:r w:rsidRPr="00744C1F">
          <w:rPr>
            <w:rStyle w:val="Hyperlink"/>
            <w:rFonts w:ascii="Arial" w:hAnsi="Arial" w:cs="Arial"/>
            <w:sz w:val="24"/>
            <w:szCs w:val="24"/>
          </w:rPr>
          <w:t>Tamara.Williams@toronto.ca</w:t>
        </w:r>
      </w:hyperlink>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 </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Style w:val="Strong"/>
          <w:rFonts w:ascii="Arial" w:hAnsi="Arial" w:cs="Arial"/>
          <w:color w:val="000000"/>
          <w:sz w:val="24"/>
          <w:szCs w:val="24"/>
        </w:rPr>
        <w:t>Accommodation:</w:t>
      </w:r>
      <w:r w:rsidRPr="00744C1F">
        <w:rPr>
          <w:rFonts w:ascii="Arial" w:hAnsi="Arial" w:cs="Arial"/>
          <w:color w:val="000000"/>
          <w:sz w:val="24"/>
          <w:szCs w:val="24"/>
        </w:rPr>
        <w:t>  If you are an individual who requires accommodation, due to disability under the Ontario Human Rights Code, to apply for this position, please email us at recjobs@toronto.ca, quoting the Requisition ID and the job title.  The City is committed to providing Code-protected accommodation throughout its hiring process. Please visit </w:t>
      </w:r>
      <w:hyperlink r:id="rId15" w:history="1">
        <w:r w:rsidRPr="00744C1F">
          <w:rPr>
            <w:rStyle w:val="Hyperlink"/>
            <w:rFonts w:ascii="Arial" w:hAnsi="Arial" w:cs="Arial"/>
            <w:color w:val="0066CC"/>
            <w:sz w:val="24"/>
            <w:szCs w:val="24"/>
          </w:rPr>
          <w:t>Hiring Policies and Statements</w:t>
        </w:r>
      </w:hyperlink>
      <w:r w:rsidRPr="00744C1F">
        <w:rPr>
          <w:rFonts w:ascii="Arial" w:hAnsi="Arial" w:cs="Arial"/>
          <w:color w:val="000000"/>
          <w:sz w:val="24"/>
          <w:szCs w:val="24"/>
        </w:rPr>
        <w:t> for further details.</w:t>
      </w:r>
    </w:p>
    <w:p w:rsidR="001C28D4" w:rsidRPr="00744C1F" w:rsidRDefault="001C28D4" w:rsidP="001C28D4">
      <w:pPr>
        <w:pStyle w:val="NormalWeb"/>
        <w:shd w:val="clear" w:color="auto" w:fill="FFFFFF"/>
        <w:spacing w:before="2" w:after="2"/>
        <w:rPr>
          <w:rFonts w:ascii="Arial" w:hAnsi="Arial" w:cs="Arial"/>
          <w:color w:val="000000"/>
          <w:sz w:val="24"/>
          <w:szCs w:val="24"/>
        </w:rPr>
      </w:pPr>
    </w:p>
    <w:p w:rsidR="001C28D4" w:rsidRPr="00744C1F" w:rsidRDefault="001C28D4" w:rsidP="001C28D4">
      <w:pPr>
        <w:rPr>
          <w:rFonts w:ascii="Arial" w:hAnsi="Arial" w:cs="Arial"/>
          <w:b/>
          <w:shd w:val="clear" w:color="auto" w:fill="FFFFFF"/>
        </w:rPr>
      </w:pPr>
      <w:r w:rsidRPr="00744C1F">
        <w:rPr>
          <w:rFonts w:ascii="Arial" w:hAnsi="Arial" w:cs="Arial"/>
          <w:b/>
          <w:shd w:val="clear" w:color="auto" w:fill="FFFFFF"/>
        </w:rPr>
        <w:t>Equity, Diversity and Inclusion (2021 MC)</w:t>
      </w:r>
    </w:p>
    <w:p w:rsidR="001C28D4" w:rsidRPr="00744C1F" w:rsidRDefault="001C28D4" w:rsidP="001C28D4">
      <w:pPr>
        <w:rPr>
          <w:rFonts w:ascii="Arial" w:hAnsi="Arial" w:cs="Arial"/>
          <w:shd w:val="clear" w:color="auto" w:fill="FFFFFF"/>
        </w:rPr>
      </w:pPr>
      <w:r w:rsidRPr="00744C1F">
        <w:rPr>
          <w:rFonts w:ascii="Arial" w:hAnsi="Arial" w:cs="Arial"/>
          <w:shd w:val="clear" w:color="auto" w:fill="FFFFFF"/>
        </w:rPr>
        <w:t>The City is an equal opportunity employer, dedicated to creating a workplace culture of inclusiveness that reflects the diverse residents that we serve. Learn more about the City’s commitment to employment equity. (https://www.toronto.ca/city-government/accountability-operations-customer-service/city-administration/corporate-policies/people-equity-policies/employment-equity-policy/)</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Fonts w:ascii="Arial" w:hAnsi="Arial" w:cs="Arial"/>
          <w:color w:val="000000"/>
          <w:sz w:val="24"/>
          <w:szCs w:val="24"/>
        </w:rPr>
        <w:t> </w:t>
      </w:r>
    </w:p>
    <w:p w:rsidR="001C28D4" w:rsidRPr="00744C1F" w:rsidRDefault="001C28D4" w:rsidP="001C28D4">
      <w:pPr>
        <w:pStyle w:val="NormalWeb"/>
        <w:shd w:val="clear" w:color="auto" w:fill="FFFFFF"/>
        <w:spacing w:before="2" w:after="2"/>
        <w:rPr>
          <w:rFonts w:ascii="Arial" w:hAnsi="Arial" w:cs="Arial"/>
          <w:color w:val="000000"/>
          <w:sz w:val="24"/>
          <w:szCs w:val="24"/>
        </w:rPr>
      </w:pPr>
      <w:r w:rsidRPr="00744C1F">
        <w:rPr>
          <w:rStyle w:val="Strong"/>
          <w:rFonts w:ascii="Arial" w:hAnsi="Arial" w:cs="Arial"/>
          <w:color w:val="000000"/>
          <w:sz w:val="24"/>
          <w:szCs w:val="24"/>
        </w:rPr>
        <w:t>Vulnerable Sector Check:  </w:t>
      </w:r>
      <w:r w:rsidRPr="00744C1F">
        <w:rPr>
          <w:rFonts w:ascii="Arial" w:hAnsi="Arial" w:cs="Arial"/>
          <w:color w:val="000000"/>
          <w:sz w:val="24"/>
          <w:szCs w:val="24"/>
        </w:rPr>
        <w:t>One of the requirements for working with children and vulnerable adults is applicants providing the results of a Vulnerable Sector Check. For Recreation Worker positions, we are only able to consider candidates who obtain a Vulnerable Sector Check. Once an applicant is given a conditional offer of employment, we will obtain a Vulnerable Sector Check for applicants who reside within the City of Toronto. Applicants who reside outside of the City of Toronto will need to obtain a Vulnerable Sector Check from their local Police Service.  For further information on the vulnerable sector screening, please contact your local Police Service.</w:t>
      </w:r>
    </w:p>
    <w:p w:rsidR="001C28D4" w:rsidRPr="00744C1F" w:rsidRDefault="001C28D4" w:rsidP="001C28D4">
      <w:pPr>
        <w:rPr>
          <w:rFonts w:ascii="Arial" w:hAnsi="Arial" w:cs="Arial"/>
          <w:b/>
          <w:color w:val="333333"/>
        </w:rPr>
      </w:pPr>
    </w:p>
    <w:p w:rsidR="001C28D4" w:rsidRPr="00744C1F" w:rsidRDefault="001C28D4" w:rsidP="001C28D4">
      <w:pPr>
        <w:rPr>
          <w:rFonts w:ascii="Arial" w:hAnsi="Arial" w:cs="Arial"/>
          <w:color w:val="333333"/>
        </w:rPr>
      </w:pPr>
    </w:p>
    <w:p w:rsidR="001C28D4" w:rsidRPr="00744C1F" w:rsidRDefault="001C28D4" w:rsidP="001C28D4">
      <w:pPr>
        <w:pBdr>
          <w:top w:val="single" w:sz="6" w:space="1" w:color="auto"/>
        </w:pBdr>
        <w:spacing w:beforeLines="1" w:before="2" w:afterLines="1" w:after="2"/>
        <w:jc w:val="center"/>
        <w:rPr>
          <w:rFonts w:ascii="Arial" w:hAnsi="Arial" w:cs="Arial"/>
          <w:vanish/>
        </w:rPr>
      </w:pPr>
      <w:r w:rsidRPr="00744C1F">
        <w:rPr>
          <w:rFonts w:ascii="Arial" w:hAnsi="Arial" w:cs="Arial"/>
          <w:vanish/>
          <w:highlight w:val="yellow"/>
        </w:rPr>
        <w:t>Bottom of Form</w:t>
      </w:r>
    </w:p>
    <w:p w:rsidR="00050778" w:rsidRPr="00F37A1E" w:rsidRDefault="00050778" w:rsidP="00580EAD">
      <w:pPr>
        <w:rPr>
          <w:rFonts w:ascii="Arial" w:hAnsi="Arial" w:cs="Arial"/>
        </w:rPr>
      </w:pPr>
    </w:p>
    <w:sectPr w:rsidR="00050778" w:rsidRPr="00F37A1E" w:rsidSect="00D217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56547"/>
    <w:multiLevelType w:val="multilevel"/>
    <w:tmpl w:val="56C6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1E1395"/>
    <w:multiLevelType w:val="multilevel"/>
    <w:tmpl w:val="CC6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D4"/>
    <w:rsid w:val="00050778"/>
    <w:rsid w:val="00130566"/>
    <w:rsid w:val="001652B2"/>
    <w:rsid w:val="001C28D4"/>
    <w:rsid w:val="00305385"/>
    <w:rsid w:val="00497F6A"/>
    <w:rsid w:val="0055399E"/>
    <w:rsid w:val="00580EAD"/>
    <w:rsid w:val="00602306"/>
    <w:rsid w:val="006117FF"/>
    <w:rsid w:val="00655F56"/>
    <w:rsid w:val="00711D61"/>
    <w:rsid w:val="008055E2"/>
    <w:rsid w:val="00955359"/>
    <w:rsid w:val="00A479AB"/>
    <w:rsid w:val="00C60015"/>
    <w:rsid w:val="00C657C0"/>
    <w:rsid w:val="00D21732"/>
    <w:rsid w:val="00F37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741D3-78D8-4BC4-B31E-D059EEC5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8D4"/>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28D4"/>
    <w:rPr>
      <w:color w:val="0000FF"/>
      <w:u w:val="single"/>
    </w:rPr>
  </w:style>
  <w:style w:type="paragraph" w:styleId="NormalWeb">
    <w:name w:val="Normal (Web)"/>
    <w:basedOn w:val="Normal"/>
    <w:uiPriority w:val="99"/>
    <w:rsid w:val="001C28D4"/>
    <w:pPr>
      <w:spacing w:beforeLines="1" w:afterLines="1"/>
    </w:pPr>
    <w:rPr>
      <w:rFonts w:ascii="Times" w:hAnsi="Times" w:cs="Times New Roman"/>
      <w:sz w:val="20"/>
      <w:szCs w:val="20"/>
    </w:rPr>
  </w:style>
  <w:style w:type="character" w:styleId="Strong">
    <w:name w:val="Strong"/>
    <w:basedOn w:val="DefaultParagraphFont"/>
    <w:uiPriority w:val="22"/>
    <w:qFormat/>
    <w:rsid w:val="001C28D4"/>
    <w:rPr>
      <w:b/>
    </w:rPr>
  </w:style>
  <w:style w:type="character" w:customStyle="1" w:styleId="normaltextrun">
    <w:name w:val="normaltextrun"/>
    <w:basedOn w:val="DefaultParagraphFont"/>
    <w:rsid w:val="001C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McCallum@toronto.ca" TargetMode="External"/><Relationship Id="rId13" Type="http://schemas.openxmlformats.org/officeDocument/2006/relationships/hyperlink" Target="mailto:Alexandra.Kim@toronto.ca" TargetMode="External"/><Relationship Id="rId3" Type="http://schemas.openxmlformats.org/officeDocument/2006/relationships/settings" Target="settings.xml"/><Relationship Id="rId7" Type="http://schemas.openxmlformats.org/officeDocument/2006/relationships/hyperlink" Target="mailto:Elaine.Kemp@toronto.ca" TargetMode="External"/><Relationship Id="rId12" Type="http://schemas.openxmlformats.org/officeDocument/2006/relationships/hyperlink" Target="mailto:Lauren.McCallum@toronto.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bs.toronto.ca/recreation/go/Museum-Jobs/2578517/" TargetMode="External"/><Relationship Id="rId11" Type="http://schemas.openxmlformats.org/officeDocument/2006/relationships/hyperlink" Target="mailto:Pailagi.Pandya@toronto.ca" TargetMode="External"/><Relationship Id="rId5" Type="http://schemas.openxmlformats.org/officeDocument/2006/relationships/hyperlink" Target="https://www.toronto.ca/explore-enjoy/history-art-culture/museums/" TargetMode="External"/><Relationship Id="rId15" Type="http://schemas.openxmlformats.org/officeDocument/2006/relationships/hyperlink" Target="https://www.toronto.ca/home/jobs/information-for-applicants/hiring-process/hiring-policies-statements/" TargetMode="External"/><Relationship Id="rId10" Type="http://schemas.openxmlformats.org/officeDocument/2006/relationships/hyperlink" Target="mailto:Philip.Cheong@toronto.ca" TargetMode="External"/><Relationship Id="rId4" Type="http://schemas.openxmlformats.org/officeDocument/2006/relationships/webSettings" Target="webSettings.xml"/><Relationship Id="rId9" Type="http://schemas.openxmlformats.org/officeDocument/2006/relationships/hyperlink" Target="mailto:Elizabeth.Nelson-Raffaele@toronto.caTodmorden" TargetMode="External"/><Relationship Id="rId14" Type="http://schemas.openxmlformats.org/officeDocument/2006/relationships/hyperlink" Target="mailto:Tamara.Williams@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6818</Characters>
  <Application>Microsoft Office Word</Application>
  <DocSecurity>0</DocSecurity>
  <Lines>56</Lines>
  <Paragraphs>15</Paragraphs>
  <ScaleCrop>false</ScaleCrop>
  <Company>City of Toronto</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Kim</dc:creator>
  <cp:keywords/>
  <dc:description/>
  <cp:lastModifiedBy>Alexandra Kim</cp:lastModifiedBy>
  <cp:revision>2</cp:revision>
  <dcterms:created xsi:type="dcterms:W3CDTF">2021-07-29T13:22:00Z</dcterms:created>
  <dcterms:modified xsi:type="dcterms:W3CDTF">2021-07-29T13:22:00Z</dcterms:modified>
</cp:coreProperties>
</file>